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3 квартал 2025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2"/>
        <w:gridCol w:w="2682"/>
        <w:gridCol w:w="2481"/>
        <w:gridCol w:w="2481"/>
      </w:tblGrid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июль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август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сентябрь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E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Котельниковский район, Октябрьский район, Николаевский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3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Чубыкин А.В.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B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Урюпинский район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F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1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3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</w:tbl>
    <w:p w14:paraId="34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35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36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7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8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9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2025-12-03T07:00:14Z</dcterms:modified>
</cp:coreProperties>
</file>